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CAC3" w14:textId="18B4E786" w:rsidR="00D55B35" w:rsidRPr="00C31E53" w:rsidRDefault="00706B88" w:rsidP="00F704A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MEETING 3</w:t>
      </w:r>
      <w:r w:rsidRPr="00706B88">
        <w:rPr>
          <w:b/>
          <w:bCs/>
          <w:sz w:val="36"/>
          <w:szCs w:val="36"/>
          <w:highlight w:val="yellow"/>
          <w:vertAlign w:val="superscript"/>
        </w:rPr>
        <w:t>RD</w:t>
      </w:r>
      <w:r>
        <w:rPr>
          <w:b/>
          <w:bCs/>
          <w:sz w:val="36"/>
          <w:szCs w:val="36"/>
          <w:highlight w:val="yellow"/>
        </w:rPr>
        <w:t xml:space="preserve"> FEBRUARY </w:t>
      </w:r>
      <w:r w:rsidR="00D55B35" w:rsidRPr="00C31E53">
        <w:rPr>
          <w:b/>
          <w:bCs/>
          <w:sz w:val="36"/>
          <w:szCs w:val="36"/>
          <w:highlight w:val="yellow"/>
        </w:rPr>
        <w:t>ON THE YETHOLM VILLAGE SHOP</w:t>
      </w:r>
    </w:p>
    <w:p w14:paraId="672625A1" w14:textId="153CBA30" w:rsidR="00D55B35" w:rsidRDefault="00D55B35" w:rsidP="00D55B35">
      <w:pPr>
        <w:jc w:val="right"/>
      </w:pPr>
    </w:p>
    <w:p w14:paraId="38B2E35C" w14:textId="2904A537" w:rsidR="0088447F" w:rsidRDefault="008A7DE8" w:rsidP="005C0764">
      <w:pPr>
        <w:rPr>
          <w:rFonts w:ascii="Calibri" w:hAnsi="Calibri" w:cs="Calibri"/>
          <w:sz w:val="24"/>
          <w:szCs w:val="24"/>
          <w:lang w:eastAsia="en-US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58DBA53" wp14:editId="75077739">
            <wp:simplePos x="0" y="0"/>
            <wp:positionH relativeFrom="margin">
              <wp:posOffset>3807460</wp:posOffset>
            </wp:positionH>
            <wp:positionV relativeFrom="paragraph">
              <wp:posOffset>17145</wp:posOffset>
            </wp:positionV>
            <wp:extent cx="1924050" cy="1455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7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7</w:t>
      </w:r>
      <w:r w:rsidR="0088447F" w:rsidRPr="0088447F"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eastAsia="en-US"/>
        </w:rPr>
        <w:t>th</w:t>
      </w:r>
      <w:r w:rsidR="0088447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January </w:t>
      </w:r>
      <w:r w:rsidR="002C6299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was the kick-off</w:t>
      </w:r>
      <w:r w:rsidR="0088447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meeting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.  </w:t>
      </w:r>
      <w:r w:rsidR="00450EA6">
        <w:rPr>
          <w:rFonts w:ascii="Calibri" w:hAnsi="Calibri" w:cs="Calibri"/>
          <w:sz w:val="24"/>
          <w:szCs w:val="24"/>
          <w:lang w:eastAsia="en-US"/>
        </w:rPr>
        <w:t xml:space="preserve">Hazel Allen’s 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business planning </w:t>
      </w:r>
      <w:r w:rsidR="0088447F">
        <w:rPr>
          <w:rFonts w:ascii="Calibri" w:hAnsi="Calibri" w:cs="Calibri"/>
          <w:sz w:val="24"/>
          <w:szCs w:val="24"/>
          <w:lang w:eastAsia="en-US"/>
        </w:rPr>
        <w:t xml:space="preserve">team met with </w:t>
      </w:r>
      <w:r w:rsidR="005C0764">
        <w:rPr>
          <w:rFonts w:ascii="Calibri" w:hAnsi="Calibri" w:cs="Calibri"/>
          <w:sz w:val="24"/>
          <w:szCs w:val="24"/>
          <w:lang w:eastAsia="en-US"/>
        </w:rPr>
        <w:t xml:space="preserve">staff and owners, got the feel of </w:t>
      </w:r>
      <w:r w:rsidR="0088447F">
        <w:rPr>
          <w:rFonts w:ascii="Calibri" w:hAnsi="Calibri" w:cs="Calibri"/>
          <w:sz w:val="24"/>
          <w:szCs w:val="24"/>
          <w:lang w:eastAsia="en-US"/>
        </w:rPr>
        <w:t>the shop and the village</w:t>
      </w:r>
      <w:r w:rsidR="005C0764">
        <w:rPr>
          <w:rFonts w:ascii="Calibri" w:hAnsi="Calibri" w:cs="Calibri"/>
          <w:sz w:val="24"/>
          <w:szCs w:val="24"/>
          <w:lang w:eastAsia="en-US"/>
        </w:rPr>
        <w:t xml:space="preserve"> and heard from the management committee of the steering group</w:t>
      </w:r>
      <w:r w:rsidR="0088447F">
        <w:rPr>
          <w:rFonts w:ascii="Calibri" w:hAnsi="Calibri" w:cs="Calibri"/>
          <w:sz w:val="24"/>
          <w:szCs w:val="24"/>
          <w:lang w:eastAsia="en-US"/>
        </w:rPr>
        <w:t xml:space="preserve">.  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Using their skills in </w:t>
      </w:r>
      <w:r w:rsidR="00A1159F" w:rsidRPr="009F5FAF">
        <w:rPr>
          <w:rFonts w:ascii="Calibri" w:hAnsi="Calibri" w:cs="Calibri"/>
          <w:sz w:val="24"/>
          <w:szCs w:val="24"/>
          <w:lang w:eastAsia="en-US"/>
        </w:rPr>
        <w:t xml:space="preserve">business planning and viability for community projects 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and their specialist </w:t>
      </w:r>
      <w:r w:rsidR="00A1159F" w:rsidRPr="009F5FAF">
        <w:rPr>
          <w:rFonts w:ascii="Calibri" w:hAnsi="Calibri" w:cs="Calibri"/>
          <w:sz w:val="24"/>
          <w:szCs w:val="24"/>
          <w:lang w:eastAsia="en-US"/>
        </w:rPr>
        <w:t>knowledge of the Scottish rural economy</w:t>
      </w:r>
      <w:r w:rsidR="004400FD">
        <w:rPr>
          <w:rFonts w:ascii="Calibri" w:hAnsi="Calibri" w:cs="Calibri"/>
          <w:sz w:val="24"/>
          <w:szCs w:val="24"/>
          <w:lang w:eastAsia="en-US"/>
        </w:rPr>
        <w:t>,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 the team </w:t>
      </w:r>
      <w:r w:rsidR="00196A22">
        <w:rPr>
          <w:rFonts w:ascii="Calibri" w:hAnsi="Calibri" w:cs="Calibri"/>
          <w:sz w:val="24"/>
          <w:szCs w:val="24"/>
          <w:lang w:eastAsia="en-US"/>
        </w:rPr>
        <w:t xml:space="preserve">are </w:t>
      </w:r>
      <w:r w:rsidR="005C0764">
        <w:rPr>
          <w:rFonts w:ascii="Calibri" w:hAnsi="Calibri" w:cs="Calibri"/>
          <w:sz w:val="24"/>
          <w:szCs w:val="24"/>
          <w:lang w:eastAsia="en-US"/>
        </w:rPr>
        <w:t xml:space="preserve">generating the </w:t>
      </w:r>
      <w:r w:rsidR="000F3F0E">
        <w:rPr>
          <w:rFonts w:ascii="Calibri" w:hAnsi="Calibri" w:cs="Calibri"/>
          <w:sz w:val="24"/>
          <w:szCs w:val="24"/>
          <w:lang w:eastAsia="en-US"/>
        </w:rPr>
        <w:t xml:space="preserve">options </w:t>
      </w:r>
      <w:r w:rsidR="002C6299">
        <w:rPr>
          <w:rFonts w:ascii="Calibri" w:hAnsi="Calibri" w:cs="Calibri"/>
          <w:sz w:val="24"/>
          <w:szCs w:val="24"/>
          <w:lang w:eastAsia="en-US"/>
        </w:rPr>
        <w:t xml:space="preserve">that 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could be available </w:t>
      </w:r>
      <w:r w:rsidR="005C0764">
        <w:rPr>
          <w:rFonts w:ascii="Calibri" w:hAnsi="Calibri" w:cs="Calibri"/>
          <w:sz w:val="24"/>
          <w:szCs w:val="24"/>
          <w:lang w:eastAsia="en-US"/>
        </w:rPr>
        <w:t xml:space="preserve">to Yetholm 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if there is sufficient support </w:t>
      </w:r>
      <w:r w:rsidR="002C6299">
        <w:rPr>
          <w:rFonts w:ascii="Calibri" w:hAnsi="Calibri" w:cs="Calibri"/>
          <w:sz w:val="24"/>
          <w:szCs w:val="24"/>
          <w:lang w:eastAsia="en-US"/>
        </w:rPr>
        <w:t xml:space="preserve">from 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the village and its surrounding area.  </w:t>
      </w:r>
    </w:p>
    <w:p w14:paraId="5774F6E1" w14:textId="77777777" w:rsidR="0088447F" w:rsidRDefault="0088447F" w:rsidP="00003B17">
      <w:pPr>
        <w:rPr>
          <w:rFonts w:ascii="Calibri" w:hAnsi="Calibri" w:cs="Calibri"/>
          <w:sz w:val="24"/>
          <w:szCs w:val="24"/>
          <w:lang w:eastAsia="en-US"/>
        </w:rPr>
      </w:pPr>
    </w:p>
    <w:p w14:paraId="28F8B78A" w14:textId="09216616" w:rsidR="008A7DE8" w:rsidRDefault="0088447F" w:rsidP="00003B17">
      <w:pPr>
        <w:rPr>
          <w:rFonts w:ascii="Calibri" w:hAnsi="Calibri" w:cs="Calibri"/>
          <w:sz w:val="24"/>
          <w:szCs w:val="24"/>
          <w:lang w:eastAsia="en-US"/>
        </w:rPr>
      </w:pPr>
      <w:r w:rsidRPr="0088447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3</w:t>
      </w:r>
      <w:r w:rsidRPr="0088447F"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eastAsia="en-US"/>
        </w:rPr>
        <w:t>rd</w:t>
      </w:r>
      <w:r w:rsidRPr="0088447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</w:t>
      </w:r>
      <w:r w:rsidRPr="002C6299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February </w:t>
      </w:r>
      <w:r w:rsidR="002C6299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at 7 o’clock at the Church in Kirk Yetholm </w:t>
      </w:r>
      <w:r w:rsidRPr="002C6299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is the </w:t>
      </w:r>
      <w:r w:rsidR="005C0764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first </w:t>
      </w:r>
      <w:r w:rsidR="00EC351B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public </w:t>
      </w:r>
      <w:r w:rsidRPr="002C6299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meeting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C6299">
        <w:rPr>
          <w:rFonts w:ascii="Calibri" w:hAnsi="Calibri" w:cs="Calibri"/>
          <w:sz w:val="24"/>
          <w:szCs w:val="24"/>
          <w:lang w:eastAsia="en-US"/>
        </w:rPr>
        <w:t xml:space="preserve">for </w:t>
      </w:r>
      <w:r>
        <w:rPr>
          <w:rFonts w:ascii="Calibri" w:hAnsi="Calibri" w:cs="Calibri"/>
          <w:sz w:val="24"/>
          <w:szCs w:val="24"/>
          <w:lang w:eastAsia="en-US"/>
        </w:rPr>
        <w:t xml:space="preserve">the village </w:t>
      </w:r>
      <w:r w:rsidR="002C6299">
        <w:rPr>
          <w:rFonts w:ascii="Calibri" w:hAnsi="Calibri" w:cs="Calibri"/>
          <w:sz w:val="24"/>
          <w:szCs w:val="24"/>
          <w:lang w:eastAsia="en-US"/>
        </w:rPr>
        <w:t>to</w:t>
      </w:r>
      <w:r w:rsidR="00A72C88" w:rsidRPr="00A72C8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30337">
        <w:rPr>
          <w:rFonts w:ascii="Calibri" w:hAnsi="Calibri" w:cs="Calibri"/>
          <w:sz w:val="24"/>
          <w:szCs w:val="24"/>
          <w:lang w:eastAsia="en-US"/>
        </w:rPr>
        <w:t>hear from the business planning team on</w:t>
      </w:r>
      <w:bookmarkStart w:id="0" w:name="_GoBack"/>
      <w:bookmarkEnd w:id="0"/>
      <w:r w:rsidR="00C30337">
        <w:rPr>
          <w:rFonts w:ascii="Calibri" w:hAnsi="Calibri" w:cs="Calibri"/>
          <w:sz w:val="24"/>
          <w:szCs w:val="24"/>
          <w:lang w:eastAsia="en-US"/>
        </w:rPr>
        <w:t xml:space="preserve">: </w:t>
      </w:r>
    </w:p>
    <w:p w14:paraId="0009E150" w14:textId="5630A129" w:rsidR="008A7DE8" w:rsidRPr="009F5FAF" w:rsidRDefault="0040358C" w:rsidP="00A72C88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7DE8" w:rsidRPr="0040358C">
        <w:rPr>
          <w:b/>
          <w:bCs/>
          <w:sz w:val="24"/>
          <w:szCs w:val="24"/>
          <w:u w:val="single"/>
        </w:rPr>
        <w:t xml:space="preserve">Community </w:t>
      </w:r>
      <w:r w:rsidR="002C6299">
        <w:rPr>
          <w:b/>
          <w:bCs/>
          <w:sz w:val="24"/>
          <w:szCs w:val="24"/>
          <w:u w:val="single"/>
        </w:rPr>
        <w:t>V</w:t>
      </w:r>
      <w:r w:rsidR="008A7DE8" w:rsidRPr="0040358C">
        <w:rPr>
          <w:b/>
          <w:bCs/>
          <w:sz w:val="24"/>
          <w:szCs w:val="24"/>
          <w:u w:val="single"/>
        </w:rPr>
        <w:t>ision</w:t>
      </w:r>
      <w:r w:rsidR="008A7DE8" w:rsidRPr="009F5FAF">
        <w:rPr>
          <w:sz w:val="24"/>
          <w:szCs w:val="24"/>
        </w:rPr>
        <w:t xml:space="preserve"> for the </w:t>
      </w:r>
      <w:r w:rsidR="008A7DE8">
        <w:rPr>
          <w:sz w:val="24"/>
          <w:szCs w:val="24"/>
        </w:rPr>
        <w:t xml:space="preserve">shop’s </w:t>
      </w:r>
      <w:r w:rsidR="008A7DE8" w:rsidRPr="009F5FAF">
        <w:rPr>
          <w:sz w:val="24"/>
          <w:szCs w:val="24"/>
        </w:rPr>
        <w:t xml:space="preserve">short, medium and longer-term future </w:t>
      </w:r>
    </w:p>
    <w:p w14:paraId="16157136" w14:textId="35A4EF53" w:rsidR="008A7DE8" w:rsidRPr="009F5FAF" w:rsidRDefault="0040358C" w:rsidP="008A7DE8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7DE8" w:rsidRPr="0040358C">
        <w:rPr>
          <w:b/>
          <w:bCs/>
          <w:sz w:val="24"/>
          <w:szCs w:val="24"/>
          <w:u w:val="single"/>
        </w:rPr>
        <w:t>Options</w:t>
      </w:r>
      <w:r w:rsidR="008A7DE8" w:rsidRPr="009F5FAF">
        <w:rPr>
          <w:sz w:val="24"/>
          <w:szCs w:val="24"/>
        </w:rPr>
        <w:t xml:space="preserve"> for developing existing and future uses </w:t>
      </w:r>
      <w:r w:rsidR="008A7DE8">
        <w:rPr>
          <w:sz w:val="24"/>
          <w:szCs w:val="24"/>
        </w:rPr>
        <w:t xml:space="preserve">of the shop. </w:t>
      </w:r>
    </w:p>
    <w:p w14:paraId="41F57157" w14:textId="77777777" w:rsidR="008A7DE8" w:rsidRDefault="008A7DE8" w:rsidP="00003B17">
      <w:pPr>
        <w:rPr>
          <w:rFonts w:ascii="Calibri" w:hAnsi="Calibri" w:cs="Calibri"/>
          <w:sz w:val="24"/>
          <w:szCs w:val="24"/>
          <w:lang w:eastAsia="en-US"/>
        </w:rPr>
      </w:pPr>
    </w:p>
    <w:p w14:paraId="7CEEEE22" w14:textId="50972D78" w:rsidR="00806352" w:rsidRPr="0088447F" w:rsidRDefault="008A7DE8" w:rsidP="00003B17">
      <w:pPr>
        <w:rPr>
          <w:rFonts w:ascii="Calibri" w:hAnsi="Calibri" w:cs="Calibri"/>
          <w:sz w:val="24"/>
          <w:szCs w:val="24"/>
          <w:lang w:eastAsia="en-US"/>
        </w:rPr>
      </w:pPr>
      <w:r w:rsidRPr="008A7DE8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E</w:t>
      </w:r>
      <w:r w:rsidR="0088447F" w:rsidRPr="008A7DE8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veryone </w:t>
      </w:r>
      <w:r w:rsidRPr="008A7DE8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can </w:t>
      </w:r>
      <w:r w:rsidR="0088447F" w:rsidRPr="008A7DE8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have their say</w:t>
      </w:r>
      <w:r w:rsidR="0088447F">
        <w:rPr>
          <w:rFonts w:ascii="Calibri" w:hAnsi="Calibri" w:cs="Calibri"/>
          <w:sz w:val="24"/>
          <w:szCs w:val="24"/>
          <w:lang w:eastAsia="en-US"/>
        </w:rPr>
        <w:t xml:space="preserve">.  </w:t>
      </w:r>
      <w:r w:rsidR="002C6299">
        <w:rPr>
          <w:rFonts w:ascii="Calibri" w:hAnsi="Calibri" w:cs="Calibri"/>
          <w:sz w:val="24"/>
          <w:szCs w:val="24"/>
          <w:lang w:eastAsia="en-US"/>
        </w:rPr>
        <w:t>Many people very helpfully contributed to the village survey at the end of last year</w:t>
      </w:r>
      <w:r w:rsidR="005C0764">
        <w:rPr>
          <w:rFonts w:ascii="Calibri" w:hAnsi="Calibri" w:cs="Calibri"/>
          <w:sz w:val="24"/>
          <w:szCs w:val="24"/>
          <w:lang w:eastAsia="en-US"/>
        </w:rPr>
        <w:t xml:space="preserve">.  The </w:t>
      </w:r>
      <w:r w:rsidR="002C6299">
        <w:rPr>
          <w:rFonts w:ascii="Calibri" w:hAnsi="Calibri" w:cs="Calibri"/>
          <w:sz w:val="24"/>
          <w:szCs w:val="24"/>
          <w:lang w:eastAsia="en-US"/>
        </w:rPr>
        <w:t xml:space="preserve">data from </w:t>
      </w:r>
      <w:r w:rsidR="005C0764">
        <w:rPr>
          <w:rFonts w:ascii="Calibri" w:hAnsi="Calibri" w:cs="Calibri"/>
          <w:sz w:val="24"/>
          <w:szCs w:val="24"/>
          <w:lang w:eastAsia="en-US"/>
        </w:rPr>
        <w:t xml:space="preserve">it </w:t>
      </w:r>
      <w:r w:rsidR="002C6299">
        <w:rPr>
          <w:rFonts w:ascii="Calibri" w:hAnsi="Calibri" w:cs="Calibri"/>
          <w:sz w:val="24"/>
          <w:szCs w:val="24"/>
          <w:lang w:eastAsia="en-US"/>
        </w:rPr>
        <w:t xml:space="preserve">is with Hazel Allen for ongoing analysis and study and will be used as </w:t>
      </w:r>
      <w:r w:rsidR="009F0A74">
        <w:rPr>
          <w:rFonts w:ascii="Calibri" w:hAnsi="Calibri" w:cs="Calibri"/>
          <w:sz w:val="24"/>
          <w:szCs w:val="24"/>
          <w:lang w:eastAsia="en-US"/>
        </w:rPr>
        <w:t xml:space="preserve">a key </w:t>
      </w:r>
      <w:r w:rsidR="002C6299">
        <w:rPr>
          <w:rFonts w:ascii="Calibri" w:hAnsi="Calibri" w:cs="Calibri"/>
          <w:sz w:val="24"/>
          <w:szCs w:val="24"/>
          <w:lang w:eastAsia="en-US"/>
        </w:rPr>
        <w:t>input to the Community Vision and Options.  At the meeting everyone can discuss the</w:t>
      </w:r>
      <w:r w:rsidR="002C6299" w:rsidRPr="002C629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C6299">
        <w:rPr>
          <w:rFonts w:ascii="Calibri" w:hAnsi="Calibri" w:cs="Calibri"/>
          <w:sz w:val="24"/>
          <w:szCs w:val="24"/>
          <w:lang w:eastAsia="en-US"/>
        </w:rPr>
        <w:t xml:space="preserve">opportunities.  </w:t>
      </w:r>
      <w:r w:rsidR="005C0764">
        <w:rPr>
          <w:rFonts w:ascii="Calibri" w:hAnsi="Calibri" w:cs="Calibri"/>
          <w:sz w:val="24"/>
          <w:szCs w:val="24"/>
          <w:lang w:eastAsia="en-US"/>
        </w:rPr>
        <w:t xml:space="preserve">There will be a follow up village meeting in March. </w:t>
      </w:r>
    </w:p>
    <w:p w14:paraId="24987B5F" w14:textId="11CA61B1" w:rsidR="0017347A" w:rsidRPr="009F5FAF" w:rsidRDefault="003C4E9D" w:rsidP="0056363C">
      <w:pPr>
        <w:spacing w:before="240"/>
        <w:rPr>
          <w:rFonts w:ascii="Calibri" w:hAnsi="Calibri" w:cs="Calibri"/>
          <w:sz w:val="24"/>
          <w:szCs w:val="24"/>
          <w:lang w:eastAsia="en-US"/>
        </w:rPr>
      </w:pPr>
      <w:r w:rsidRPr="003C4E9D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A series </w:t>
      </w:r>
      <w:r w:rsidR="001E6502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of </w:t>
      </w:r>
      <w:r w:rsidRPr="003C4E9D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snapshots </w:t>
      </w:r>
      <w:r w:rsidR="001E6502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from </w:t>
      </w:r>
      <w:r w:rsidRPr="003C4E9D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the survey</w:t>
      </w:r>
      <w:r w:rsidR="00A1159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. 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To </w:t>
      </w:r>
      <w:r>
        <w:rPr>
          <w:rFonts w:ascii="Calibri" w:hAnsi="Calibri" w:cs="Calibri"/>
          <w:sz w:val="24"/>
          <w:szCs w:val="24"/>
          <w:lang w:eastAsia="en-US"/>
        </w:rPr>
        <w:t xml:space="preserve">prepare for the meeting this 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is </w:t>
      </w:r>
      <w:r w:rsidR="00A1159F">
        <w:rPr>
          <w:rFonts w:ascii="Calibri" w:hAnsi="Calibri" w:cs="Calibri"/>
          <w:sz w:val="24"/>
          <w:szCs w:val="24"/>
          <w:lang w:eastAsia="en-US"/>
        </w:rPr>
        <w:t xml:space="preserve">the first of a </w:t>
      </w:r>
      <w:r w:rsidR="00B32DAA">
        <w:rPr>
          <w:rFonts w:ascii="Calibri" w:hAnsi="Calibri" w:cs="Calibri"/>
          <w:sz w:val="24"/>
          <w:szCs w:val="24"/>
          <w:lang w:eastAsia="en-US"/>
        </w:rPr>
        <w:t xml:space="preserve">series </w:t>
      </w:r>
      <w:r w:rsidR="00A1159F">
        <w:rPr>
          <w:rFonts w:ascii="Calibri" w:hAnsi="Calibri" w:cs="Calibri"/>
          <w:sz w:val="24"/>
          <w:szCs w:val="24"/>
          <w:lang w:eastAsia="en-US"/>
        </w:rPr>
        <w:t>of snapshots</w:t>
      </w:r>
      <w:r w:rsidR="002C6299">
        <w:rPr>
          <w:rFonts w:ascii="Calibri" w:hAnsi="Calibri" w:cs="Calibri"/>
          <w:sz w:val="24"/>
          <w:szCs w:val="24"/>
          <w:lang w:eastAsia="en-US"/>
        </w:rPr>
        <w:t xml:space="preserve"> from the data set</w:t>
      </w:r>
      <w:r>
        <w:rPr>
          <w:rFonts w:ascii="Calibri" w:hAnsi="Calibri" w:cs="Calibri"/>
          <w:sz w:val="24"/>
          <w:szCs w:val="24"/>
          <w:lang w:eastAsia="en-US"/>
        </w:rPr>
        <w:t xml:space="preserve">.  </w:t>
      </w:r>
      <w:r w:rsidR="002C6299">
        <w:rPr>
          <w:rFonts w:ascii="Calibri" w:hAnsi="Calibri" w:cs="Calibri"/>
          <w:sz w:val="24"/>
          <w:szCs w:val="24"/>
          <w:lang w:eastAsia="en-US"/>
        </w:rPr>
        <w:t xml:space="preserve">The results are </w:t>
      </w:r>
      <w:r w:rsidR="00635C8B">
        <w:rPr>
          <w:rFonts w:ascii="Calibri" w:hAnsi="Calibri" w:cs="Calibri"/>
          <w:sz w:val="24"/>
          <w:szCs w:val="24"/>
          <w:lang w:eastAsia="en-US"/>
        </w:rPr>
        <w:t xml:space="preserve">key to the decisions to be made. </w:t>
      </w:r>
      <w:r w:rsidR="005C0764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14:paraId="27DF2452" w14:textId="69A895CE" w:rsidR="008A7DE8" w:rsidRDefault="00D96CBF" w:rsidP="00787929">
      <w:pPr>
        <w:spacing w:before="240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We asked: </w:t>
      </w:r>
      <w:r w:rsidR="008A7DE8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W</w:t>
      </w:r>
      <w:r w:rsidR="008A7DE8" w:rsidRPr="008A7DE8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hat goods and services should be available?</w:t>
      </w:r>
      <w:r w:rsidR="00C7577A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</w:t>
      </w:r>
      <w:r w:rsidR="00C7577A" w:rsidRPr="00C7577A">
        <w:rPr>
          <w:rFonts w:ascii="Calibri" w:hAnsi="Calibri" w:cs="Calibri"/>
          <w:sz w:val="24"/>
          <w:szCs w:val="24"/>
          <w:lang w:eastAsia="en-US"/>
        </w:rPr>
        <w:t xml:space="preserve">Here is </w:t>
      </w:r>
      <w:r w:rsidR="00A72C88">
        <w:rPr>
          <w:rFonts w:ascii="Calibri" w:hAnsi="Calibri" w:cs="Calibri"/>
          <w:sz w:val="24"/>
          <w:szCs w:val="24"/>
          <w:lang w:eastAsia="en-US"/>
        </w:rPr>
        <w:t xml:space="preserve">your </w:t>
      </w:r>
      <w:r w:rsidR="00C7577A">
        <w:rPr>
          <w:rFonts w:ascii="Calibri" w:hAnsi="Calibri" w:cs="Calibri"/>
          <w:sz w:val="24"/>
          <w:szCs w:val="24"/>
          <w:lang w:eastAsia="en-US"/>
        </w:rPr>
        <w:t xml:space="preserve">response: </w:t>
      </w:r>
    </w:p>
    <w:p w14:paraId="42B36AB4" w14:textId="5EE8A15B" w:rsidR="008A7DE8" w:rsidRDefault="008A7DE8" w:rsidP="005C0764">
      <w:pPr>
        <w:spacing w:before="240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>
        <w:rPr>
          <w:noProof/>
        </w:rPr>
        <w:drawing>
          <wp:inline distT="0" distB="0" distL="0" distR="0" wp14:anchorId="1D831600" wp14:editId="4BF011B0">
            <wp:extent cx="4495800" cy="298132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8F37861-52AE-4834-8410-7F163F7EEB2F}"/>
                </a:ext>
                <a:ext uri="{147F2762-F138-4A5C-976F-8EAC2B608ADB}">
                  <a16:predDERef xmlns:a16="http://schemas.microsoft.com/office/drawing/2014/main" pred="{D77EAF59-F6E3-4DDF-97B5-07C4425CE0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32CB8F" w14:textId="4849EDCE" w:rsidR="00DA2738" w:rsidRPr="00DE7A78" w:rsidRDefault="00A1159F" w:rsidP="00787929">
      <w:pPr>
        <w:spacing w:before="2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There will be another update soon.</w:t>
      </w:r>
      <w:r w:rsidR="00D30CB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</w:t>
      </w:r>
      <w:r w:rsidR="00DE7A78">
        <w:rPr>
          <w:rFonts w:ascii="Calibri" w:hAnsi="Calibri" w:cs="Calibri"/>
          <w:sz w:val="24"/>
          <w:szCs w:val="24"/>
          <w:lang w:eastAsia="en-US"/>
        </w:rPr>
        <w:t xml:space="preserve">We </w:t>
      </w:r>
      <w:r w:rsidR="00635C8B">
        <w:rPr>
          <w:rFonts w:ascii="Calibri" w:hAnsi="Calibri" w:cs="Calibri"/>
          <w:sz w:val="24"/>
          <w:szCs w:val="24"/>
          <w:lang w:eastAsia="en-US"/>
        </w:rPr>
        <w:t xml:space="preserve">will </w:t>
      </w:r>
      <w:r w:rsidR="00DE7A78">
        <w:rPr>
          <w:rFonts w:ascii="Calibri" w:hAnsi="Calibri" w:cs="Calibri"/>
          <w:sz w:val="24"/>
          <w:szCs w:val="24"/>
          <w:lang w:eastAsia="en-US"/>
        </w:rPr>
        <w:t>share</w:t>
      </w:r>
      <w:r w:rsidR="00CC78D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35C8B">
        <w:rPr>
          <w:rFonts w:ascii="Calibri" w:hAnsi="Calibri" w:cs="Calibri"/>
          <w:sz w:val="24"/>
          <w:szCs w:val="24"/>
          <w:lang w:eastAsia="en-US"/>
        </w:rPr>
        <w:t xml:space="preserve">more </w:t>
      </w:r>
      <w:r w:rsidR="00CC78D9">
        <w:rPr>
          <w:rFonts w:ascii="Calibri" w:hAnsi="Calibri" w:cs="Calibri"/>
          <w:sz w:val="24"/>
          <w:szCs w:val="24"/>
          <w:lang w:eastAsia="en-US"/>
        </w:rPr>
        <w:t>charts with</w:t>
      </w:r>
      <w:r w:rsidR="00DE7A78">
        <w:rPr>
          <w:rFonts w:ascii="Calibri" w:hAnsi="Calibri" w:cs="Calibri"/>
          <w:sz w:val="24"/>
          <w:szCs w:val="24"/>
          <w:lang w:eastAsia="en-US"/>
        </w:rPr>
        <w:t xml:space="preserve"> additional data</w:t>
      </w:r>
      <w:r w:rsidR="00CC78D9">
        <w:rPr>
          <w:rFonts w:ascii="Calibri" w:hAnsi="Calibri" w:cs="Calibri"/>
          <w:sz w:val="24"/>
          <w:szCs w:val="24"/>
          <w:lang w:eastAsia="en-US"/>
        </w:rPr>
        <w:t>.</w:t>
      </w:r>
    </w:p>
    <w:p w14:paraId="2DB80AED" w14:textId="14FD60E0" w:rsidR="00F704A0" w:rsidRPr="00DA2738" w:rsidRDefault="00DA2738" w:rsidP="00B32DAA">
      <w:pPr>
        <w:spacing w:before="240"/>
        <w:rPr>
          <w:rFonts w:ascii="Calibri" w:hAnsi="Calibri" w:cs="Calibri"/>
          <w:i/>
          <w:iCs/>
          <w:sz w:val="24"/>
          <w:szCs w:val="24"/>
          <w:lang w:eastAsia="en-US"/>
        </w:rPr>
      </w:pPr>
      <w:r w:rsidRPr="00DA2738">
        <w:rPr>
          <w:rFonts w:ascii="Calibri" w:hAnsi="Calibri" w:cs="Calibri"/>
          <w:i/>
          <w:iCs/>
          <w:sz w:val="24"/>
          <w:szCs w:val="24"/>
          <w:lang w:eastAsia="en-US"/>
        </w:rPr>
        <w:t>S</w:t>
      </w:r>
      <w:r w:rsidR="00E44BEB">
        <w:rPr>
          <w:rFonts w:ascii="Calibri" w:hAnsi="Calibri" w:cs="Calibri"/>
          <w:i/>
          <w:iCs/>
          <w:sz w:val="24"/>
          <w:szCs w:val="24"/>
          <w:lang w:eastAsia="en-US"/>
        </w:rPr>
        <w:t>unday, 12</w:t>
      </w:r>
      <w:r w:rsidRPr="00DA2738">
        <w:rPr>
          <w:rFonts w:ascii="Calibri" w:hAnsi="Calibri" w:cs="Calibri"/>
          <w:i/>
          <w:iCs/>
          <w:sz w:val="24"/>
          <w:szCs w:val="24"/>
          <w:lang w:eastAsia="en-US"/>
        </w:rPr>
        <w:t xml:space="preserve"> January 2020</w:t>
      </w:r>
    </w:p>
    <w:sectPr w:rsidR="00F704A0" w:rsidRPr="00DA2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A33B" w14:textId="77777777" w:rsidR="00951CA4" w:rsidRDefault="00951CA4" w:rsidP="006E2323">
      <w:r>
        <w:separator/>
      </w:r>
    </w:p>
  </w:endnote>
  <w:endnote w:type="continuationSeparator" w:id="0">
    <w:p w14:paraId="49520D7B" w14:textId="77777777" w:rsidR="00951CA4" w:rsidRDefault="00951CA4" w:rsidP="006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CABE" w14:textId="77777777" w:rsidR="005C0764" w:rsidRDefault="005C0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711D" w14:textId="19F39F7F" w:rsidR="005C0764" w:rsidRDefault="005C0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F994" w14:textId="77777777" w:rsidR="005C0764" w:rsidRDefault="005C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2E32" w14:textId="77777777" w:rsidR="00951CA4" w:rsidRDefault="00951CA4" w:rsidP="006E2323">
      <w:r>
        <w:separator/>
      </w:r>
    </w:p>
  </w:footnote>
  <w:footnote w:type="continuationSeparator" w:id="0">
    <w:p w14:paraId="0E6E97C9" w14:textId="77777777" w:rsidR="00951CA4" w:rsidRDefault="00951CA4" w:rsidP="006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4ABC2" w14:textId="77777777" w:rsidR="005C0764" w:rsidRDefault="005C0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BF38" w14:textId="77777777" w:rsidR="005C0764" w:rsidRDefault="005C0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6C8E" w14:textId="77777777" w:rsidR="005C0764" w:rsidRDefault="005C0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1B92"/>
    <w:multiLevelType w:val="hybridMultilevel"/>
    <w:tmpl w:val="D80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B52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485F"/>
    <w:multiLevelType w:val="hybridMultilevel"/>
    <w:tmpl w:val="6CB4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A7C42"/>
    <w:multiLevelType w:val="hybridMultilevel"/>
    <w:tmpl w:val="A40C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23"/>
    <w:rsid w:val="0000333E"/>
    <w:rsid w:val="00003B17"/>
    <w:rsid w:val="000124AF"/>
    <w:rsid w:val="00080723"/>
    <w:rsid w:val="0008786E"/>
    <w:rsid w:val="000A5A1E"/>
    <w:rsid w:val="000F3F0E"/>
    <w:rsid w:val="000F7382"/>
    <w:rsid w:val="00134277"/>
    <w:rsid w:val="0017347A"/>
    <w:rsid w:val="001806A7"/>
    <w:rsid w:val="00196A22"/>
    <w:rsid w:val="001C3888"/>
    <w:rsid w:val="001D53A8"/>
    <w:rsid w:val="001D5E68"/>
    <w:rsid w:val="001E6502"/>
    <w:rsid w:val="002120EA"/>
    <w:rsid w:val="002138AE"/>
    <w:rsid w:val="00221467"/>
    <w:rsid w:val="0025437D"/>
    <w:rsid w:val="002C6299"/>
    <w:rsid w:val="002D496E"/>
    <w:rsid w:val="00305AED"/>
    <w:rsid w:val="003158DC"/>
    <w:rsid w:val="003C4E9D"/>
    <w:rsid w:val="0040358C"/>
    <w:rsid w:val="004400FD"/>
    <w:rsid w:val="00450EA6"/>
    <w:rsid w:val="004B7F54"/>
    <w:rsid w:val="004C0EFA"/>
    <w:rsid w:val="004E1198"/>
    <w:rsid w:val="004F4136"/>
    <w:rsid w:val="0056363C"/>
    <w:rsid w:val="005B62C7"/>
    <w:rsid w:val="005C0764"/>
    <w:rsid w:val="005E7042"/>
    <w:rsid w:val="006078D1"/>
    <w:rsid w:val="00635C8B"/>
    <w:rsid w:val="006539CE"/>
    <w:rsid w:val="006A0709"/>
    <w:rsid w:val="006E2323"/>
    <w:rsid w:val="006F1E6B"/>
    <w:rsid w:val="00706B88"/>
    <w:rsid w:val="00724B1C"/>
    <w:rsid w:val="00772150"/>
    <w:rsid w:val="00787929"/>
    <w:rsid w:val="00806352"/>
    <w:rsid w:val="00863F64"/>
    <w:rsid w:val="0088447F"/>
    <w:rsid w:val="008A7187"/>
    <w:rsid w:val="008A7DE8"/>
    <w:rsid w:val="0092273E"/>
    <w:rsid w:val="00951CA4"/>
    <w:rsid w:val="00994824"/>
    <w:rsid w:val="00997372"/>
    <w:rsid w:val="009B7F92"/>
    <w:rsid w:val="009D0220"/>
    <w:rsid w:val="009F0A74"/>
    <w:rsid w:val="009F5FAF"/>
    <w:rsid w:val="00A1159F"/>
    <w:rsid w:val="00A14BD6"/>
    <w:rsid w:val="00A3534D"/>
    <w:rsid w:val="00A418C7"/>
    <w:rsid w:val="00A557E6"/>
    <w:rsid w:val="00A63295"/>
    <w:rsid w:val="00A72C88"/>
    <w:rsid w:val="00A81EF7"/>
    <w:rsid w:val="00A85B17"/>
    <w:rsid w:val="00AC7DEE"/>
    <w:rsid w:val="00AF20FA"/>
    <w:rsid w:val="00B1197A"/>
    <w:rsid w:val="00B175B6"/>
    <w:rsid w:val="00B32DAA"/>
    <w:rsid w:val="00BC5683"/>
    <w:rsid w:val="00C30337"/>
    <w:rsid w:val="00C31E53"/>
    <w:rsid w:val="00C7577A"/>
    <w:rsid w:val="00CB4A45"/>
    <w:rsid w:val="00CC78D9"/>
    <w:rsid w:val="00CF69AB"/>
    <w:rsid w:val="00D125F2"/>
    <w:rsid w:val="00D17EFA"/>
    <w:rsid w:val="00D216D1"/>
    <w:rsid w:val="00D30CBF"/>
    <w:rsid w:val="00D55B35"/>
    <w:rsid w:val="00D61090"/>
    <w:rsid w:val="00D96CBF"/>
    <w:rsid w:val="00D976FD"/>
    <w:rsid w:val="00DA2738"/>
    <w:rsid w:val="00DE7A78"/>
    <w:rsid w:val="00E07C85"/>
    <w:rsid w:val="00E44BEB"/>
    <w:rsid w:val="00E621AC"/>
    <w:rsid w:val="00E920AF"/>
    <w:rsid w:val="00E97BF7"/>
    <w:rsid w:val="00EC351B"/>
    <w:rsid w:val="00EC37F0"/>
    <w:rsid w:val="00F01435"/>
    <w:rsid w:val="00F020DD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85AE3"/>
  <w15:chartTrackingRefBased/>
  <w15:docId w15:val="{98E22F96-47BA-4854-9C8C-0C6E5150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2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23"/>
    <w:pPr>
      <w:ind w:left="72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2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2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2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2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7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n.Stobart\Documents\YVS\Copy%20of%20data%20analysis%20110120%2000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What should be available?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Percentages!$C$46</c:f>
              <c:strCache>
                <c:ptCount val="1"/>
                <c:pt idx="0">
                  <c:v>Must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Percentages!$B$47:$B$69</c:f>
              <c:strCache>
                <c:ptCount val="23"/>
                <c:pt idx="0">
                  <c:v>Postal services (including stamps, cash withdrawals, mobile phone top up, deposits)</c:v>
                </c:pt>
                <c:pt idx="1">
                  <c:v>Everyday basic needs (e.g. bread, milk, eggs, butter, tea, coffee, fruit juice etc.)</c:v>
                </c:pt>
                <c:pt idx="2">
                  <c:v>Newspapers/magazines</c:v>
                </c:pt>
                <c:pt idx="3">
                  <c:v>Fresh fruit / vegetables – loose and chilled</c:v>
                </c:pt>
                <c:pt idx="4">
                  <c:v>Chilled goods (cheese, yoghurt, bacon, cooked chicken, ham, etc.)</c:v>
                </c:pt>
                <c:pt idx="5">
                  <c:v>Packaged dry goods (breakfast cereal, rice, pasta etc.)</c:v>
                </c:pt>
                <c:pt idx="6">
                  <c:v>Chocolate, sweets, crisps, soft drinks</c:v>
                </c:pt>
                <c:pt idx="7">
                  <c:v>Tinned food, soups, canned meats </c:v>
                </c:pt>
                <c:pt idx="8">
                  <c:v>Non-prescription medicines (pain relief, cough medicines, etc)</c:v>
                </c:pt>
                <c:pt idx="9">
                  <c:v>Stationery/cards/gifts</c:v>
                </c:pt>
                <c:pt idx="10">
                  <c:v>Other household (batteries, light bulbs etc)</c:v>
                </c:pt>
                <c:pt idx="11">
                  <c:v>Household cleaning products</c:v>
                </c:pt>
                <c:pt idx="12">
                  <c:v>Cooking sauces and oils </c:v>
                </c:pt>
                <c:pt idx="13">
                  <c:v>Frozen food</c:v>
                </c:pt>
                <c:pt idx="14">
                  <c:v>Soap, shower gel and toiletries</c:v>
                </c:pt>
                <c:pt idx="15">
                  <c:v>Wine / beer / spirits</c:v>
                </c:pt>
                <c:pt idx="16">
                  <c:v>Lottery tickets</c:v>
                </c:pt>
                <c:pt idx="17">
                  <c:v>Pet food, wild bird seed </c:v>
                </c:pt>
                <c:pt idx="18">
                  <c:v>Organic/Fair Trade products</c:v>
                </c:pt>
                <c:pt idx="19">
                  <c:v>Fresh sandwiches/ filled rolls / hot pies </c:v>
                </c:pt>
                <c:pt idx="20">
                  <c:v>Cigarettes / tobacco</c:v>
                </c:pt>
                <c:pt idx="21">
                  <c:v>Ready meals</c:v>
                </c:pt>
                <c:pt idx="22">
                  <c:v>Coal/logs</c:v>
                </c:pt>
              </c:strCache>
            </c:strRef>
          </c:cat>
          <c:val>
            <c:numRef>
              <c:f>Percentages!$C$47:$C$69</c:f>
              <c:numCache>
                <c:formatCode>0%</c:formatCode>
                <c:ptCount val="23"/>
                <c:pt idx="0">
                  <c:v>0.89814814814814814</c:v>
                </c:pt>
                <c:pt idx="1">
                  <c:v>0.86363636363636365</c:v>
                </c:pt>
                <c:pt idx="2">
                  <c:v>0.79816513761467889</c:v>
                </c:pt>
                <c:pt idx="3">
                  <c:v>0.69473684210526321</c:v>
                </c:pt>
                <c:pt idx="4">
                  <c:v>0.60416666666666663</c:v>
                </c:pt>
                <c:pt idx="5">
                  <c:v>0.55913978494623651</c:v>
                </c:pt>
                <c:pt idx="6">
                  <c:v>0.55789473684210522</c:v>
                </c:pt>
                <c:pt idx="7">
                  <c:v>0.51063829787234039</c:v>
                </c:pt>
                <c:pt idx="8">
                  <c:v>0.5</c:v>
                </c:pt>
                <c:pt idx="9">
                  <c:v>0.44660194174757284</c:v>
                </c:pt>
                <c:pt idx="10">
                  <c:v>0.39583333333333331</c:v>
                </c:pt>
                <c:pt idx="11">
                  <c:v>0.38541666666666669</c:v>
                </c:pt>
                <c:pt idx="12">
                  <c:v>0.37362637362637363</c:v>
                </c:pt>
                <c:pt idx="13">
                  <c:v>0.35164835164835168</c:v>
                </c:pt>
                <c:pt idx="14">
                  <c:v>0.3473684210526316</c:v>
                </c:pt>
                <c:pt idx="15">
                  <c:v>0.33333333333333331</c:v>
                </c:pt>
                <c:pt idx="16">
                  <c:v>0.30107526881720431</c:v>
                </c:pt>
                <c:pt idx="17">
                  <c:v>0.27777777777777779</c:v>
                </c:pt>
                <c:pt idx="18">
                  <c:v>0.27551020408163263</c:v>
                </c:pt>
                <c:pt idx="19">
                  <c:v>0.24691358024691357</c:v>
                </c:pt>
                <c:pt idx="20">
                  <c:v>0.22222222222222221</c:v>
                </c:pt>
                <c:pt idx="21">
                  <c:v>0.15909090909090909</c:v>
                </c:pt>
                <c:pt idx="22">
                  <c:v>0.15116279069767441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1-4613-B1BE-9C1C3D0E9CCA}"/>
            </c:ext>
          </c:extLst>
        </c:ser>
        <c:ser>
          <c:idx val="1"/>
          <c:order val="1"/>
          <c:tx>
            <c:strRef>
              <c:f>Percentages!$D$46</c:f>
              <c:strCache>
                <c:ptCount val="1"/>
                <c:pt idx="0">
                  <c:v>Nice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Percentages!$B$47:$B$69</c:f>
              <c:strCache>
                <c:ptCount val="23"/>
                <c:pt idx="0">
                  <c:v>Postal services (including stamps, cash withdrawals, mobile phone top up, deposits)</c:v>
                </c:pt>
                <c:pt idx="1">
                  <c:v>Everyday basic needs (e.g. bread, milk, eggs, butter, tea, coffee, fruit juice etc.)</c:v>
                </c:pt>
                <c:pt idx="2">
                  <c:v>Newspapers/magazines</c:v>
                </c:pt>
                <c:pt idx="3">
                  <c:v>Fresh fruit / vegetables – loose and chilled</c:v>
                </c:pt>
                <c:pt idx="4">
                  <c:v>Chilled goods (cheese, yoghurt, bacon, cooked chicken, ham, etc.)</c:v>
                </c:pt>
                <c:pt idx="5">
                  <c:v>Packaged dry goods (breakfast cereal, rice, pasta etc.)</c:v>
                </c:pt>
                <c:pt idx="6">
                  <c:v>Chocolate, sweets, crisps, soft drinks</c:v>
                </c:pt>
                <c:pt idx="7">
                  <c:v>Tinned food, soups, canned meats </c:v>
                </c:pt>
                <c:pt idx="8">
                  <c:v>Non-prescription medicines (pain relief, cough medicines, etc)</c:v>
                </c:pt>
                <c:pt idx="9">
                  <c:v>Stationery/cards/gifts</c:v>
                </c:pt>
                <c:pt idx="10">
                  <c:v>Other household (batteries, light bulbs etc)</c:v>
                </c:pt>
                <c:pt idx="11">
                  <c:v>Household cleaning products</c:v>
                </c:pt>
                <c:pt idx="12">
                  <c:v>Cooking sauces and oils </c:v>
                </c:pt>
                <c:pt idx="13">
                  <c:v>Frozen food</c:v>
                </c:pt>
                <c:pt idx="14">
                  <c:v>Soap, shower gel and toiletries</c:v>
                </c:pt>
                <c:pt idx="15">
                  <c:v>Wine / beer / spirits</c:v>
                </c:pt>
                <c:pt idx="16">
                  <c:v>Lottery tickets</c:v>
                </c:pt>
                <c:pt idx="17">
                  <c:v>Pet food, wild bird seed </c:v>
                </c:pt>
                <c:pt idx="18">
                  <c:v>Organic/Fair Trade products</c:v>
                </c:pt>
                <c:pt idx="19">
                  <c:v>Fresh sandwiches/ filled rolls / hot pies </c:v>
                </c:pt>
                <c:pt idx="20">
                  <c:v>Cigarettes / tobacco</c:v>
                </c:pt>
                <c:pt idx="21">
                  <c:v>Ready meals</c:v>
                </c:pt>
                <c:pt idx="22">
                  <c:v>Coal/logs</c:v>
                </c:pt>
              </c:strCache>
            </c:strRef>
          </c:cat>
          <c:val>
            <c:numRef>
              <c:f>Percentages!$D$47:$D$69</c:f>
              <c:numCache>
                <c:formatCode>0%</c:formatCode>
                <c:ptCount val="23"/>
                <c:pt idx="0">
                  <c:v>0.10185185185185185</c:v>
                </c:pt>
                <c:pt idx="1">
                  <c:v>0.12727272727272726</c:v>
                </c:pt>
                <c:pt idx="2">
                  <c:v>0.11926605504587157</c:v>
                </c:pt>
                <c:pt idx="3">
                  <c:v>0.24210526315789474</c:v>
                </c:pt>
                <c:pt idx="4">
                  <c:v>0.30208333333333331</c:v>
                </c:pt>
                <c:pt idx="5">
                  <c:v>0.36559139784946237</c:v>
                </c:pt>
                <c:pt idx="6">
                  <c:v>0.4</c:v>
                </c:pt>
                <c:pt idx="7">
                  <c:v>0.31914893617021278</c:v>
                </c:pt>
                <c:pt idx="8">
                  <c:v>0.38541666666666669</c:v>
                </c:pt>
                <c:pt idx="9">
                  <c:v>0.4563106796116505</c:v>
                </c:pt>
                <c:pt idx="10">
                  <c:v>0.54166666666666663</c:v>
                </c:pt>
                <c:pt idx="11">
                  <c:v>0.44791666666666669</c:v>
                </c:pt>
                <c:pt idx="12">
                  <c:v>0.46153846153846156</c:v>
                </c:pt>
                <c:pt idx="13">
                  <c:v>0.38461538461538464</c:v>
                </c:pt>
                <c:pt idx="14">
                  <c:v>0.45263157894736844</c:v>
                </c:pt>
                <c:pt idx="15">
                  <c:v>0.41666666666666669</c:v>
                </c:pt>
                <c:pt idx="16">
                  <c:v>0.35483870967741937</c:v>
                </c:pt>
                <c:pt idx="17">
                  <c:v>0.3</c:v>
                </c:pt>
                <c:pt idx="18">
                  <c:v>0.5</c:v>
                </c:pt>
                <c:pt idx="19">
                  <c:v>0.48148148148148145</c:v>
                </c:pt>
                <c:pt idx="20">
                  <c:v>0.23333333333333334</c:v>
                </c:pt>
                <c:pt idx="21">
                  <c:v>0.35227272727272729</c:v>
                </c:pt>
                <c:pt idx="22">
                  <c:v>0.30232558139534882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71-4613-B1BE-9C1C3D0E9CCA}"/>
            </c:ext>
          </c:extLst>
        </c:ser>
        <c:ser>
          <c:idx val="2"/>
          <c:order val="2"/>
          <c:tx>
            <c:strRef>
              <c:f>Percentages!$E$46</c:f>
              <c:strCache>
                <c:ptCount val="1"/>
                <c:pt idx="0">
                  <c:v>Not needed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Percentages!$B$47:$B$69</c:f>
              <c:strCache>
                <c:ptCount val="23"/>
                <c:pt idx="0">
                  <c:v>Postal services (including stamps, cash withdrawals, mobile phone top up, deposits)</c:v>
                </c:pt>
                <c:pt idx="1">
                  <c:v>Everyday basic needs (e.g. bread, milk, eggs, butter, tea, coffee, fruit juice etc.)</c:v>
                </c:pt>
                <c:pt idx="2">
                  <c:v>Newspapers/magazines</c:v>
                </c:pt>
                <c:pt idx="3">
                  <c:v>Fresh fruit / vegetables – loose and chilled</c:v>
                </c:pt>
                <c:pt idx="4">
                  <c:v>Chilled goods (cheese, yoghurt, bacon, cooked chicken, ham, etc.)</c:v>
                </c:pt>
                <c:pt idx="5">
                  <c:v>Packaged dry goods (breakfast cereal, rice, pasta etc.)</c:v>
                </c:pt>
                <c:pt idx="6">
                  <c:v>Chocolate, sweets, crisps, soft drinks</c:v>
                </c:pt>
                <c:pt idx="7">
                  <c:v>Tinned food, soups, canned meats </c:v>
                </c:pt>
                <c:pt idx="8">
                  <c:v>Non-prescription medicines (pain relief, cough medicines, etc)</c:v>
                </c:pt>
                <c:pt idx="9">
                  <c:v>Stationery/cards/gifts</c:v>
                </c:pt>
                <c:pt idx="10">
                  <c:v>Other household (batteries, light bulbs etc)</c:v>
                </c:pt>
                <c:pt idx="11">
                  <c:v>Household cleaning products</c:v>
                </c:pt>
                <c:pt idx="12">
                  <c:v>Cooking sauces and oils </c:v>
                </c:pt>
                <c:pt idx="13">
                  <c:v>Frozen food</c:v>
                </c:pt>
                <c:pt idx="14">
                  <c:v>Soap, shower gel and toiletries</c:v>
                </c:pt>
                <c:pt idx="15">
                  <c:v>Wine / beer / spirits</c:v>
                </c:pt>
                <c:pt idx="16">
                  <c:v>Lottery tickets</c:v>
                </c:pt>
                <c:pt idx="17">
                  <c:v>Pet food, wild bird seed </c:v>
                </c:pt>
                <c:pt idx="18">
                  <c:v>Organic/Fair Trade products</c:v>
                </c:pt>
                <c:pt idx="19">
                  <c:v>Fresh sandwiches/ filled rolls / hot pies </c:v>
                </c:pt>
                <c:pt idx="20">
                  <c:v>Cigarettes / tobacco</c:v>
                </c:pt>
                <c:pt idx="21">
                  <c:v>Ready meals</c:v>
                </c:pt>
                <c:pt idx="22">
                  <c:v>Coal/logs</c:v>
                </c:pt>
              </c:strCache>
            </c:strRef>
          </c:cat>
          <c:val>
            <c:numRef>
              <c:f>Percentages!$E$47:$E$69</c:f>
              <c:numCache>
                <c:formatCode>0%</c:formatCode>
                <c:ptCount val="23"/>
                <c:pt idx="0">
                  <c:v>0</c:v>
                </c:pt>
                <c:pt idx="1">
                  <c:v>9.0909090909090905E-3</c:v>
                </c:pt>
                <c:pt idx="2">
                  <c:v>8.2568807339449546E-2</c:v>
                </c:pt>
                <c:pt idx="3">
                  <c:v>6.3157894736842107E-2</c:v>
                </c:pt>
                <c:pt idx="4">
                  <c:v>9.375E-2</c:v>
                </c:pt>
                <c:pt idx="5">
                  <c:v>7.5268817204301078E-2</c:v>
                </c:pt>
                <c:pt idx="6">
                  <c:v>4.2105263157894736E-2</c:v>
                </c:pt>
                <c:pt idx="7">
                  <c:v>0.1702127659574468</c:v>
                </c:pt>
                <c:pt idx="8">
                  <c:v>0.11458333333333333</c:v>
                </c:pt>
                <c:pt idx="9">
                  <c:v>9.7087378640776698E-2</c:v>
                </c:pt>
                <c:pt idx="10">
                  <c:v>6.25E-2</c:v>
                </c:pt>
                <c:pt idx="11">
                  <c:v>0.16666666666666666</c:v>
                </c:pt>
                <c:pt idx="12">
                  <c:v>0.16483516483516483</c:v>
                </c:pt>
                <c:pt idx="13">
                  <c:v>0.26373626373626374</c:v>
                </c:pt>
                <c:pt idx="14">
                  <c:v>0.2</c:v>
                </c:pt>
                <c:pt idx="15">
                  <c:v>0.25</c:v>
                </c:pt>
                <c:pt idx="16">
                  <c:v>0.34408602150537637</c:v>
                </c:pt>
                <c:pt idx="17">
                  <c:v>0.42222222222222222</c:v>
                </c:pt>
                <c:pt idx="18">
                  <c:v>0.22448979591836735</c:v>
                </c:pt>
                <c:pt idx="19">
                  <c:v>0.27160493827160492</c:v>
                </c:pt>
                <c:pt idx="20">
                  <c:v>0.5444444444444444</c:v>
                </c:pt>
                <c:pt idx="21">
                  <c:v>0.48863636363636365</c:v>
                </c:pt>
                <c:pt idx="22">
                  <c:v>0.54651162790697672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71-4613-B1BE-9C1C3D0E9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05443696"/>
        <c:axId val="1205444024"/>
      </c:barChart>
      <c:catAx>
        <c:axId val="120544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5444024"/>
        <c:crosses val="autoZero"/>
        <c:auto val="1"/>
        <c:lblAlgn val="ctr"/>
        <c:lblOffset val="100"/>
        <c:noMultiLvlLbl val="0"/>
      </c:catAx>
      <c:valAx>
        <c:axId val="120544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544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1297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www.redwoodbank.co.uk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Stobart</dc:creator>
  <cp:keywords/>
  <dc:description/>
  <cp:lastModifiedBy>John Stobart</cp:lastModifiedBy>
  <cp:revision>9</cp:revision>
  <cp:lastPrinted>2019-12-28T16:11:00Z</cp:lastPrinted>
  <dcterms:created xsi:type="dcterms:W3CDTF">2020-01-12T14:03:00Z</dcterms:created>
  <dcterms:modified xsi:type="dcterms:W3CDTF">2020-01-12T14:16:00Z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6f5af6-94af-436d-b55a-d3a2496112b5_Enabled">
    <vt:lpwstr>True</vt:lpwstr>
  </property>
  <property fmtid="{D5CDD505-2E9C-101B-9397-08002B2CF9AE}" pid="3" name="MSIP_Label_ac6f5af6-94af-436d-b55a-d3a2496112b5_SiteId">
    <vt:lpwstr>cd348a8b-da5a-4465-b33c-608bdbbc6c39</vt:lpwstr>
  </property>
  <property fmtid="{D5CDD505-2E9C-101B-9397-08002B2CF9AE}" pid="4" name="MSIP_Label_ac6f5af6-94af-436d-b55a-d3a2496112b5_Owner">
    <vt:lpwstr>john.stobart@redwoodbank.co.uk</vt:lpwstr>
  </property>
  <property fmtid="{D5CDD505-2E9C-101B-9397-08002B2CF9AE}" pid="5" name="MSIP_Label_ac6f5af6-94af-436d-b55a-d3a2496112b5_SetDate">
    <vt:lpwstr>2019-12-15T11:46:54.6365554Z</vt:lpwstr>
  </property>
  <property fmtid="{D5CDD505-2E9C-101B-9397-08002B2CF9AE}" pid="6" name="MSIP_Label_ac6f5af6-94af-436d-b55a-d3a2496112b5_Name">
    <vt:lpwstr>Commercial</vt:lpwstr>
  </property>
  <property fmtid="{D5CDD505-2E9C-101B-9397-08002B2CF9AE}" pid="7" name="MSIP_Label_ac6f5af6-94af-436d-b55a-d3a2496112b5_Application">
    <vt:lpwstr>Microsoft Azure Information Protection</vt:lpwstr>
  </property>
  <property fmtid="{D5CDD505-2E9C-101B-9397-08002B2CF9AE}" pid="8" name="MSIP_Label_ac6f5af6-94af-436d-b55a-d3a2496112b5_ActionId">
    <vt:lpwstr>efb643fa-6966-4466-a863-7421dfaeed1b</vt:lpwstr>
  </property>
  <property fmtid="{D5CDD505-2E9C-101B-9397-08002B2CF9AE}" pid="9" name="MSIP_Label_ac6f5af6-94af-436d-b55a-d3a2496112b5_Extended_MSFT_Method">
    <vt:lpwstr>Automatic</vt:lpwstr>
  </property>
  <property fmtid="{D5CDD505-2E9C-101B-9397-08002B2CF9AE}" pid="10" name="Sensitivity">
    <vt:lpwstr>Commercial</vt:lpwstr>
  </property>
</Properties>
</file>